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66831" w14:textId="77777777" w:rsidR="00C444BA" w:rsidRPr="00C444BA" w:rsidRDefault="00C444BA" w:rsidP="00C444BA">
      <w:pPr>
        <w:spacing w:after="0" w:line="480" w:lineRule="auto"/>
        <w:jc w:val="center"/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  <w:t>Informe Complementario al Aviso de Expresiones de Interés</w:t>
      </w:r>
    </w:p>
    <w:tbl>
      <w:tblPr>
        <w:tblW w:w="84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408"/>
      </w:tblGrid>
      <w:tr w:rsidR="00C444BA" w:rsidRPr="00C444BA" w14:paraId="121A3C52" w14:textId="77777777" w:rsidTr="00C444BA">
        <w:trPr>
          <w:trHeight w:val="470"/>
        </w:trPr>
        <w:tc>
          <w:tcPr>
            <w:tcW w:w="8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97E291" w14:textId="77777777" w:rsidR="00C444BA" w:rsidRPr="00C444BA" w:rsidRDefault="00C444BA" w:rsidP="00C444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3"/>
                <w:lang w:val="es-ES" w:eastAsia="es-ES"/>
              </w:rPr>
            </w:pPr>
            <w:r w:rsidRPr="00C444BA">
              <w:rPr>
                <w:rFonts w:ascii="Calibri" w:eastAsia="Times New Roman" w:hAnsi="Calibri" w:cs="Times New Roman"/>
                <w:b/>
                <w:spacing w:val="-3"/>
                <w:lang w:val="es-ES" w:eastAsia="es-ES"/>
              </w:rPr>
              <w:t>DIRECCION GEBERAL DE PROGRAMAS Y PROYECTOS SECTORIALES Y ESPECIALES</w:t>
            </w:r>
          </w:p>
          <w:p w14:paraId="3ADB8215" w14:textId="77777777" w:rsidR="00C444BA" w:rsidRPr="00C444BA" w:rsidRDefault="00C444BA" w:rsidP="00C444BA">
            <w:pPr>
              <w:snapToGrid w:val="0"/>
              <w:spacing w:after="0" w:line="240" w:lineRule="auto"/>
              <w:jc w:val="center"/>
              <w:rPr>
                <w:rFonts w:ascii="Calibri" w:eastAsia="Arial" w:hAnsi="Calibri" w:cs="Arial"/>
                <w:b/>
                <w:spacing w:val="-3"/>
                <w:sz w:val="24"/>
                <w:szCs w:val="20"/>
                <w:lang w:val="es-ES" w:eastAsia="es-ES"/>
              </w:rPr>
            </w:pPr>
            <w:r w:rsidRPr="00C444BA">
              <w:rPr>
                <w:rFonts w:ascii="Calibri" w:eastAsia="Times New Roman" w:hAnsi="Calibri" w:cs="Times New Roman"/>
                <w:b/>
                <w:spacing w:val="-3"/>
                <w:lang w:val="es-ES" w:eastAsia="es-ES"/>
              </w:rPr>
              <w:t xml:space="preserve">  MINISTERIO DE PRODUCCION Y TRABAJO  </w:t>
            </w:r>
          </w:p>
        </w:tc>
      </w:tr>
      <w:tr w:rsidR="00C444BA" w:rsidRPr="00C444BA" w14:paraId="018CC828" w14:textId="77777777" w:rsidTr="00C444BA">
        <w:trPr>
          <w:trHeight w:val="625"/>
        </w:trPr>
        <w:tc>
          <w:tcPr>
            <w:tcW w:w="8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388C8D1" w14:textId="77777777" w:rsidR="00C444BA" w:rsidRPr="00C444BA" w:rsidRDefault="00C444BA" w:rsidP="00C444BA">
            <w:pPr>
              <w:spacing w:after="0" w:line="240" w:lineRule="auto"/>
              <w:jc w:val="center"/>
              <w:rPr>
                <w:rFonts w:ascii="Calibri" w:eastAsia="Arial" w:hAnsi="Calibri" w:cs="Arial"/>
                <w:spacing w:val="-3"/>
                <w:sz w:val="24"/>
                <w:szCs w:val="20"/>
                <w:lang w:val="es-ES" w:eastAsia="es-ES"/>
              </w:rPr>
            </w:pPr>
            <w:r w:rsidRPr="00C444BA">
              <w:rPr>
                <w:rFonts w:ascii="Calibri" w:eastAsia="Times New Roman" w:hAnsi="Calibri" w:cs="Times New Roman"/>
                <w:b/>
                <w:spacing w:val="-3"/>
                <w:lang w:val="es-ES" w:eastAsia="es-ES"/>
              </w:rPr>
              <w:t>PROGRAMA DE IMPLEMENTACION DEL REGIMEN NACIONAL DE VENTANILLA UNICA DE COMERCIO EXTERIOR ARGENTINO (VUCEA) PRESTAMO BID 3869/OC-AR</w:t>
            </w:r>
          </w:p>
        </w:tc>
      </w:tr>
      <w:tr w:rsidR="00C444BA" w:rsidRPr="00C444BA" w14:paraId="145868B7" w14:textId="77777777" w:rsidTr="00C444BA">
        <w:trPr>
          <w:trHeight w:val="356"/>
        </w:trPr>
        <w:tc>
          <w:tcPr>
            <w:tcW w:w="8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0E74BEC" w14:textId="77777777" w:rsidR="00C444BA" w:rsidRPr="00C444BA" w:rsidRDefault="00C444BA" w:rsidP="00C444BA">
            <w:pPr>
              <w:snapToGrid w:val="0"/>
              <w:spacing w:after="0" w:line="240" w:lineRule="auto"/>
              <w:jc w:val="center"/>
              <w:rPr>
                <w:rFonts w:ascii="Calibri" w:eastAsia="Arial" w:hAnsi="Calibri" w:cs="Arial"/>
                <w:spacing w:val="-3"/>
                <w:sz w:val="24"/>
                <w:szCs w:val="20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spacing w:val="-3"/>
                <w:sz w:val="24"/>
                <w:szCs w:val="20"/>
                <w:lang w:val="es-ES" w:eastAsia="es-ES"/>
              </w:rPr>
              <w:t>Expresiones de Interés para el Proyecto: SP 03/2018 (SBCC)</w:t>
            </w:r>
          </w:p>
        </w:tc>
      </w:tr>
      <w:tr w:rsidR="00C444BA" w:rsidRPr="00C444BA" w14:paraId="4657E3AB" w14:textId="77777777" w:rsidTr="00C444BA">
        <w:trPr>
          <w:trHeight w:val="397"/>
        </w:trPr>
        <w:tc>
          <w:tcPr>
            <w:tcW w:w="8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EB5FA81" w14:textId="77777777" w:rsidR="00C444BA" w:rsidRPr="00C444BA" w:rsidRDefault="00C444BA" w:rsidP="00C444BA">
            <w:pPr>
              <w:snapToGrid w:val="0"/>
              <w:spacing w:after="0" w:line="240" w:lineRule="auto"/>
              <w:jc w:val="center"/>
              <w:rPr>
                <w:rFonts w:ascii="Calibri" w:eastAsia="Arial" w:hAnsi="Calibri" w:cs="Arial"/>
                <w:spacing w:val="-3"/>
                <w:sz w:val="24"/>
                <w:szCs w:val="20"/>
                <w:lang w:val="es-ES" w:eastAsia="es-ES"/>
              </w:rPr>
            </w:pPr>
            <w:proofErr w:type="gramStart"/>
            <w:r w:rsidRPr="00C444BA">
              <w:rPr>
                <w:rFonts w:ascii="Calibri" w:eastAsia="Arial" w:hAnsi="Calibri" w:cs="Arial"/>
                <w:b/>
                <w:spacing w:val="-3"/>
                <w:sz w:val="24"/>
                <w:szCs w:val="20"/>
                <w:lang w:val="es-ES" w:eastAsia="es-ES"/>
              </w:rPr>
              <w:t>CONSULTORÍA :</w:t>
            </w:r>
            <w:proofErr w:type="gramEnd"/>
            <w:r w:rsidRPr="00C444BA">
              <w:rPr>
                <w:rFonts w:ascii="Calibri" w:eastAsia="Arial" w:hAnsi="Calibri" w:cs="Arial"/>
                <w:spacing w:val="-3"/>
                <w:sz w:val="24"/>
                <w:szCs w:val="20"/>
                <w:lang w:val="es-ES" w:eastAsia="es-ES"/>
              </w:rPr>
              <w:t xml:space="preserve"> “</w:t>
            </w:r>
            <w:r w:rsidRPr="00C444BA">
              <w:rPr>
                <w:rFonts w:ascii="Calibri" w:eastAsia="Times New Roman" w:hAnsi="Calibri" w:cs="Times New Roman"/>
                <w:b/>
                <w:spacing w:val="-3"/>
                <w:sz w:val="24"/>
                <w:lang w:val="es-ES" w:eastAsia="es-ES"/>
              </w:rPr>
              <w:t xml:space="preserve">Desarrollo, mantenimiento y operación de un Port </w:t>
            </w:r>
            <w:proofErr w:type="spellStart"/>
            <w:r w:rsidRPr="00C444BA">
              <w:rPr>
                <w:rFonts w:ascii="Calibri" w:eastAsia="Times New Roman" w:hAnsi="Calibri" w:cs="Times New Roman"/>
                <w:b/>
                <w:spacing w:val="-3"/>
                <w:sz w:val="24"/>
                <w:lang w:val="es-ES" w:eastAsia="es-ES"/>
              </w:rPr>
              <w:t>Community</w:t>
            </w:r>
            <w:proofErr w:type="spellEnd"/>
            <w:r w:rsidRPr="00C444BA">
              <w:rPr>
                <w:rFonts w:ascii="Calibri" w:eastAsia="Times New Roman" w:hAnsi="Calibri" w:cs="Times New Roman"/>
                <w:b/>
                <w:spacing w:val="-3"/>
                <w:sz w:val="24"/>
                <w:lang w:val="es-ES" w:eastAsia="es-ES"/>
              </w:rPr>
              <w:t xml:space="preserve"> </w:t>
            </w:r>
            <w:proofErr w:type="spellStart"/>
            <w:r w:rsidRPr="00C444BA">
              <w:rPr>
                <w:rFonts w:ascii="Calibri" w:eastAsia="Times New Roman" w:hAnsi="Calibri" w:cs="Times New Roman"/>
                <w:b/>
                <w:spacing w:val="-3"/>
                <w:sz w:val="24"/>
                <w:lang w:val="es-ES" w:eastAsia="es-ES"/>
              </w:rPr>
              <w:t>System</w:t>
            </w:r>
            <w:proofErr w:type="spellEnd"/>
            <w:r w:rsidRPr="00C444BA">
              <w:rPr>
                <w:rFonts w:ascii="Calibri" w:eastAsia="Times New Roman" w:hAnsi="Calibri" w:cs="Times New Roman"/>
                <w:b/>
                <w:spacing w:val="-3"/>
                <w:sz w:val="24"/>
                <w:lang w:val="es-ES" w:eastAsia="es-ES"/>
              </w:rPr>
              <w:t xml:space="preserve"> (PCS) </w:t>
            </w:r>
          </w:p>
        </w:tc>
      </w:tr>
    </w:tbl>
    <w:p w14:paraId="34C5ED2D" w14:textId="77777777" w:rsidR="00C444BA" w:rsidRPr="00C444BA" w:rsidRDefault="00C444BA" w:rsidP="00C444BA">
      <w:pPr>
        <w:spacing w:after="0" w:line="240" w:lineRule="auto"/>
        <w:jc w:val="center"/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</w:pPr>
    </w:p>
    <w:p w14:paraId="2828B59C" w14:textId="77777777" w:rsidR="00C444BA" w:rsidRPr="00C444BA" w:rsidRDefault="00C444BA" w:rsidP="00C444BA">
      <w:pPr>
        <w:spacing w:after="0" w:line="240" w:lineRule="auto"/>
        <w:jc w:val="center"/>
        <w:rPr>
          <w:rFonts w:ascii="Calibri" w:eastAsia="Arial" w:hAnsi="Calibri" w:cs="Arial"/>
          <w:b/>
          <w:spacing w:val="-3"/>
          <w:sz w:val="24"/>
          <w:szCs w:val="20"/>
          <w:u w:val="single"/>
          <w:lang w:val="es-ES" w:eastAsia="es-ES"/>
        </w:rPr>
      </w:pPr>
      <w:r w:rsidRPr="00C444BA">
        <w:rPr>
          <w:rFonts w:ascii="Calibri" w:eastAsia="Arial" w:hAnsi="Calibri" w:cs="Arial"/>
          <w:b/>
          <w:spacing w:val="-3"/>
          <w:sz w:val="24"/>
          <w:szCs w:val="20"/>
          <w:u w:val="single"/>
          <w:lang w:val="es-ES" w:eastAsia="es-ES"/>
        </w:rPr>
        <w:t>Objetivos Básicos del Proyecto</w:t>
      </w:r>
    </w:p>
    <w:p w14:paraId="3CCBE87B" w14:textId="77777777" w:rsidR="00C444BA" w:rsidRPr="00C444BA" w:rsidRDefault="00C444BA" w:rsidP="00C444BA">
      <w:pPr>
        <w:spacing w:after="0" w:line="240" w:lineRule="auto"/>
        <w:jc w:val="both"/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</w:pPr>
      <w:bookmarkStart w:id="0" w:name="_GoBack"/>
      <w:bookmarkEnd w:id="0"/>
    </w:p>
    <w:p w14:paraId="75A2831C" w14:textId="77777777" w:rsidR="00C444BA" w:rsidRPr="00C444BA" w:rsidRDefault="00C444BA" w:rsidP="00C444B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  <w:t>Organismo Ejecutor:</w:t>
      </w:r>
    </w:p>
    <w:p w14:paraId="768CAD7F" w14:textId="77777777" w:rsidR="00C444BA" w:rsidRPr="00C444BA" w:rsidRDefault="00C444BA" w:rsidP="00C444BA">
      <w:pPr>
        <w:spacing w:before="60" w:after="6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 xml:space="preserve">El Ministerio de Producción y Trabajo de la Nación ha recibido un financiamiento del Banco Interamericano de </w:t>
      </w:r>
      <w:proofErr w:type="gramStart"/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Desarrollo  para</w:t>
      </w:r>
      <w:proofErr w:type="gramEnd"/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 xml:space="preserve"> financiar parcialmente el costo del Programa de Implementación del Régimen Nacional de Ventanilla Única de Comercio Exterior Argentino VUCE, y se propone utilizar parte de los fondos de este financiamiento para efectuar los pagos bajo el Contrato de Préstamo BID 3869/OC-AR. La ejecución será a través de la Secretaría de Comercio y la Dirección General de Programas y Proyectos Sectoriales y Especiales.</w:t>
      </w:r>
    </w:p>
    <w:p w14:paraId="0DE8E9BC" w14:textId="77777777" w:rsidR="00C444BA" w:rsidRPr="00C444BA" w:rsidRDefault="00C444BA" w:rsidP="00C444BA">
      <w:p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</w:p>
    <w:p w14:paraId="3B5B89DE" w14:textId="77777777" w:rsidR="00C444BA" w:rsidRPr="00C444BA" w:rsidRDefault="00C444BA" w:rsidP="00C444B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  <w:t>Objetivo:</w:t>
      </w:r>
    </w:p>
    <w:p w14:paraId="41C4E8CF" w14:textId="77777777" w:rsidR="00C444BA" w:rsidRPr="00C444BA" w:rsidRDefault="00C444BA" w:rsidP="00C444BA">
      <w:pPr>
        <w:spacing w:before="240"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Univers" w:eastAsia="Times New Roman" w:hAnsi="Univers" w:cs="Times New Roman"/>
          <w:spacing w:val="-3"/>
          <w:sz w:val="24"/>
          <w:szCs w:val="20"/>
          <w:lang w:val="es-ES" w:eastAsia="es-ES"/>
        </w:rPr>
        <w:t xml:space="preserve">El objetivo es la contratación de UN (1) servicio, solicitado por la VUCEA, para el “Desarrollo, mantenimiento y operación de un Port </w:t>
      </w:r>
      <w:proofErr w:type="spellStart"/>
      <w:r w:rsidRPr="00C444BA">
        <w:rPr>
          <w:rFonts w:ascii="Univers" w:eastAsia="Times New Roman" w:hAnsi="Univers" w:cs="Times New Roman"/>
          <w:spacing w:val="-3"/>
          <w:sz w:val="24"/>
          <w:szCs w:val="20"/>
          <w:lang w:val="es-ES" w:eastAsia="es-ES"/>
        </w:rPr>
        <w:t>Community</w:t>
      </w:r>
      <w:proofErr w:type="spellEnd"/>
      <w:r w:rsidRPr="00C444BA">
        <w:rPr>
          <w:rFonts w:ascii="Univers" w:eastAsia="Times New Roman" w:hAnsi="Univers" w:cs="Times New Roman"/>
          <w:spacing w:val="-3"/>
          <w:sz w:val="24"/>
          <w:szCs w:val="20"/>
          <w:lang w:val="es-ES" w:eastAsia="es-ES"/>
        </w:rPr>
        <w:t xml:space="preserve"> </w:t>
      </w:r>
      <w:proofErr w:type="spellStart"/>
      <w:r w:rsidRPr="00C444BA">
        <w:rPr>
          <w:rFonts w:ascii="Univers" w:eastAsia="Times New Roman" w:hAnsi="Univers" w:cs="Times New Roman"/>
          <w:spacing w:val="-3"/>
          <w:sz w:val="24"/>
          <w:szCs w:val="20"/>
          <w:lang w:val="es-ES" w:eastAsia="es-ES"/>
        </w:rPr>
        <w:t>System</w:t>
      </w:r>
      <w:proofErr w:type="spellEnd"/>
      <w:r w:rsidRPr="00C444BA">
        <w:rPr>
          <w:rFonts w:ascii="Univers" w:eastAsia="Times New Roman" w:hAnsi="Univers" w:cs="Times New Roman"/>
          <w:spacing w:val="-3"/>
          <w:sz w:val="24"/>
          <w:szCs w:val="20"/>
          <w:lang w:val="es-ES" w:eastAsia="es-ES"/>
        </w:rPr>
        <w:t xml:space="preserve"> (PCS)”. Este servicio incluye el diseño, desarrollo, mantenimiento y operación de una plataforma Port </w:t>
      </w:r>
      <w:proofErr w:type="spellStart"/>
      <w:r w:rsidRPr="00C444BA">
        <w:rPr>
          <w:rFonts w:ascii="Univers" w:eastAsia="Times New Roman" w:hAnsi="Univers" w:cs="Times New Roman"/>
          <w:spacing w:val="-3"/>
          <w:sz w:val="24"/>
          <w:szCs w:val="20"/>
          <w:lang w:val="es-ES" w:eastAsia="es-ES"/>
        </w:rPr>
        <w:t>Community</w:t>
      </w:r>
      <w:proofErr w:type="spellEnd"/>
      <w:r w:rsidRPr="00C444BA">
        <w:rPr>
          <w:rFonts w:ascii="Univers" w:eastAsia="Times New Roman" w:hAnsi="Univers" w:cs="Times New Roman"/>
          <w:spacing w:val="-3"/>
          <w:sz w:val="24"/>
          <w:szCs w:val="20"/>
          <w:lang w:val="es-ES" w:eastAsia="es-ES"/>
        </w:rPr>
        <w:t xml:space="preserve"> </w:t>
      </w:r>
      <w:proofErr w:type="spellStart"/>
      <w:r w:rsidRPr="00C444BA">
        <w:rPr>
          <w:rFonts w:ascii="Univers" w:eastAsia="Times New Roman" w:hAnsi="Univers" w:cs="Times New Roman"/>
          <w:spacing w:val="-3"/>
          <w:sz w:val="24"/>
          <w:szCs w:val="20"/>
          <w:lang w:val="es-ES" w:eastAsia="es-ES"/>
        </w:rPr>
        <w:t>System</w:t>
      </w:r>
      <w:proofErr w:type="spellEnd"/>
      <w:r w:rsidRPr="00C444BA">
        <w:rPr>
          <w:rFonts w:ascii="Univers" w:eastAsia="Times New Roman" w:hAnsi="Univers" w:cs="Times New Roman"/>
          <w:spacing w:val="-3"/>
          <w:sz w:val="24"/>
          <w:szCs w:val="20"/>
          <w:lang w:val="es-ES" w:eastAsia="es-ES"/>
        </w:rPr>
        <w:t xml:space="preserve"> (PCS) que permita gestionar las transacciones relacionadas con la gestión del arribo, atraque y salida de buques en puerto, y con la carga, descarga, entrega, retirada y transporte de mercancías y contenedores. La plataforma deberá implementarse y ponerse en marcha en el Puerto de Buenos Aires, lo que requerirá también el suministro de un sistema de gestión portuaria o PMS para ese puerto. Los trabajos objeto de la contratación incluirán el análisis funcional, diseño detallado de los módulos de la plataforma, arquitectura e infraestructura tecnológica, desarrollo del software, configuración, testeo, operación y mantenimiento preventivo, correctivo y evolutivo en un periodo de veinticuatro meses. </w:t>
      </w:r>
    </w:p>
    <w:p w14:paraId="3A241AE7" w14:textId="77777777" w:rsidR="00C444BA" w:rsidRPr="00C444BA" w:rsidRDefault="00C444BA" w:rsidP="00C444BA">
      <w:pPr>
        <w:spacing w:before="240"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Esta plataforma a desarrollar, mantener y operar se deberá basar en herramientas tecnológicas seguras, estandarizadas e interoperables, de manera que permita que los actores de la cadena de comercio exterior compartan información de manera efectiva y eficiente, así como una adecuada trazabilidad de la carga.  La plataforma deberá estar interconectada con las principales plataformas de transporte marítimo internacional y con los sistemas existentes en Argentina facilitando el flujo de información y la interconexión logística en los puertos.</w:t>
      </w:r>
    </w:p>
    <w:p w14:paraId="1628D142" w14:textId="77777777" w:rsidR="00C444BA" w:rsidRPr="00C444BA" w:rsidRDefault="00C444BA" w:rsidP="00C444BA">
      <w:pPr>
        <w:spacing w:before="240"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Los objetivos generales de un PCS son:</w:t>
      </w:r>
    </w:p>
    <w:p w14:paraId="36F09370" w14:textId="77777777" w:rsidR="00C444BA" w:rsidRPr="00C444BA" w:rsidRDefault="00C444BA" w:rsidP="00C444BA">
      <w:pPr>
        <w:numPr>
          <w:ilvl w:val="0"/>
          <w:numId w:val="1"/>
        </w:numPr>
        <w:spacing w:before="240"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Integrar a los actores logísticos portuarios estatales y privados</w:t>
      </w:r>
    </w:p>
    <w:p w14:paraId="46550DF2" w14:textId="77777777" w:rsidR="00C444BA" w:rsidRPr="00C444BA" w:rsidRDefault="00C444BA" w:rsidP="00C444BA">
      <w:pPr>
        <w:numPr>
          <w:ilvl w:val="0"/>
          <w:numId w:val="1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Agilizar la interacción de las empresas, ciudadanos y gobierno</w:t>
      </w:r>
    </w:p>
    <w:p w14:paraId="4804EA16" w14:textId="77777777" w:rsidR="00C444BA" w:rsidRPr="00C444BA" w:rsidRDefault="00C444BA" w:rsidP="00C444BA">
      <w:pPr>
        <w:numPr>
          <w:ilvl w:val="0"/>
          <w:numId w:val="1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Digitalizar la documentación y las tramitaciones</w:t>
      </w:r>
    </w:p>
    <w:p w14:paraId="7F951A6A" w14:textId="77777777" w:rsidR="00C444BA" w:rsidRPr="00C444BA" w:rsidRDefault="00C444BA" w:rsidP="00C444BA">
      <w:pPr>
        <w:numPr>
          <w:ilvl w:val="0"/>
          <w:numId w:val="1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lastRenderedPageBreak/>
        <w:t>Sincronizar el flujo documental y físico</w:t>
      </w:r>
    </w:p>
    <w:p w14:paraId="16235F34" w14:textId="77777777" w:rsidR="00C444BA" w:rsidRPr="00C444BA" w:rsidRDefault="00C444BA" w:rsidP="00C444BA">
      <w:pPr>
        <w:numPr>
          <w:ilvl w:val="0"/>
          <w:numId w:val="1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Informar en tiempo real 7x24</w:t>
      </w:r>
    </w:p>
    <w:p w14:paraId="660809C2" w14:textId="77777777" w:rsidR="00C444BA" w:rsidRPr="00C444BA" w:rsidRDefault="00C444BA" w:rsidP="00C444BA">
      <w:pPr>
        <w:numPr>
          <w:ilvl w:val="0"/>
          <w:numId w:val="1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Gestionar la cadena de suministro</w:t>
      </w:r>
    </w:p>
    <w:p w14:paraId="5D6B3656" w14:textId="77777777" w:rsidR="00C444BA" w:rsidRPr="00C444BA" w:rsidRDefault="00C444BA" w:rsidP="00C444BA">
      <w:pPr>
        <w:numPr>
          <w:ilvl w:val="0"/>
          <w:numId w:val="1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Proporcionar trazabilidad en las operaciones logísticas</w:t>
      </w:r>
    </w:p>
    <w:p w14:paraId="7510596E" w14:textId="77777777" w:rsidR="00C444BA" w:rsidRPr="00C444BA" w:rsidRDefault="00C444BA" w:rsidP="00C444BA">
      <w:pPr>
        <w:numPr>
          <w:ilvl w:val="0"/>
          <w:numId w:val="1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Reducir costos y tiempos</w:t>
      </w:r>
    </w:p>
    <w:p w14:paraId="0F43C926" w14:textId="77777777" w:rsidR="00C444BA" w:rsidRPr="00C444BA" w:rsidRDefault="00C444BA" w:rsidP="00C444BA">
      <w:pPr>
        <w:numPr>
          <w:ilvl w:val="0"/>
          <w:numId w:val="1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Proporcionar:</w:t>
      </w:r>
    </w:p>
    <w:p w14:paraId="368877C5" w14:textId="77777777" w:rsidR="00C444BA" w:rsidRPr="00C444BA" w:rsidRDefault="00C444BA" w:rsidP="00C444BA">
      <w:pPr>
        <w:numPr>
          <w:ilvl w:val="1"/>
          <w:numId w:val="4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 xml:space="preserve">seguridad jurídica, al establecer un marco legal entre las partes, </w:t>
      </w:r>
    </w:p>
    <w:p w14:paraId="2C67868D" w14:textId="77777777" w:rsidR="00C444BA" w:rsidRPr="00C444BA" w:rsidRDefault="00C444BA" w:rsidP="00C444BA">
      <w:pPr>
        <w:numPr>
          <w:ilvl w:val="1"/>
          <w:numId w:val="4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 xml:space="preserve">seguridad mercantil al garantizar que los usuarios de cada empresa dispongan de las autorizaciones necesarias, y </w:t>
      </w:r>
    </w:p>
    <w:p w14:paraId="1AA19BBA" w14:textId="77777777" w:rsidR="00C444BA" w:rsidRPr="00C444BA" w:rsidRDefault="00C444BA" w:rsidP="00C444BA">
      <w:pPr>
        <w:numPr>
          <w:ilvl w:val="1"/>
          <w:numId w:val="4"/>
        </w:numPr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confidencialidad en la información impidiendo accesos no autorizados.</w:t>
      </w:r>
    </w:p>
    <w:p w14:paraId="44DFF381" w14:textId="77777777" w:rsidR="00C444BA" w:rsidRPr="00C444BA" w:rsidRDefault="00C444BA" w:rsidP="00C444BA">
      <w:pPr>
        <w:spacing w:before="240"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>El alcance el proyecto incluye el diseño detallado, desarrollo, puesta en marcha, operación, incluyendo un servicio de atención al usuario, y mantenimiento de la plataforma y sistemas que proporcionen la solución de durante un periodo de 24 meses.</w:t>
      </w:r>
    </w:p>
    <w:p w14:paraId="5E8D79E6" w14:textId="77777777" w:rsidR="00C444BA" w:rsidRPr="00C444BA" w:rsidRDefault="00C444BA" w:rsidP="00C444BA">
      <w:pPr>
        <w:spacing w:before="240"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shd w:val="clear" w:color="auto" w:fill="FFFFFF"/>
          <w:lang w:val="es-ES" w:eastAsia="es-ES"/>
        </w:rPr>
        <w:t xml:space="preserve">Para el desarrollo de los trabajos se </w:t>
      </w:r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requerirá un equipo local de trabajo en Buenos Aires para, como mínimo, ejecutar las actividades de dirección de proyecto y relación con el cliente y usuarios del sistema, realizar el análisis y diseño detallado de los distintos módulos que conformarán los sistemas PCS, y operar estos sistemas durante la duración del contrato. La operación de los sistemas se iniciará con la puesta en marcha de los primeros servicios, y se incluirá un servicio de atención a usuarios y resolución de incidencias.</w:t>
      </w:r>
    </w:p>
    <w:p w14:paraId="748A44D1" w14:textId="77777777" w:rsidR="00C444BA" w:rsidRPr="00C444BA" w:rsidRDefault="00C444BA" w:rsidP="00C444BA">
      <w:pPr>
        <w:spacing w:before="240" w:after="240" w:line="240" w:lineRule="auto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 xml:space="preserve">Los interesados deberán demostrar capacidades de uso y aplicación de arquitecturas de microservicios y de las tecnologías que mejor se adaptan a este tipo de sistemas, tales como </w:t>
      </w:r>
      <w:proofErr w:type="spellStart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APIs</w:t>
      </w:r>
      <w:proofErr w:type="spellEnd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 xml:space="preserve"> REST, bases de datos relacionales y no relacionales, </w:t>
      </w:r>
      <w:proofErr w:type="spellStart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blockchain</w:t>
      </w:r>
      <w:proofErr w:type="spellEnd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 xml:space="preserve"> (permisionadas y no permisionadas), servicios web, marcos de desarrollo de sistemas </w:t>
      </w:r>
      <w:proofErr w:type="spellStart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front-end</w:t>
      </w:r>
      <w:proofErr w:type="spellEnd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 xml:space="preserve"> web y de dispositivos móviles (por ejemplo Angular, Vue.js, </w:t>
      </w:r>
      <w:proofErr w:type="spellStart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ReactJS</w:t>
      </w:r>
      <w:proofErr w:type="spellEnd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 xml:space="preserve">, </w:t>
      </w:r>
      <w:proofErr w:type="spellStart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EmberJS</w:t>
      </w:r>
      <w:proofErr w:type="spellEnd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 xml:space="preserve"> o </w:t>
      </w:r>
      <w:proofErr w:type="spellStart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Ionic</w:t>
      </w:r>
      <w:proofErr w:type="spellEnd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), y el uso de estándares de intercambio de datos en el sector (XML, JSON, EDIFACT y ANSI.X12).</w:t>
      </w:r>
    </w:p>
    <w:p w14:paraId="777F0513" w14:textId="77777777" w:rsidR="00C444BA" w:rsidRPr="00C444BA" w:rsidRDefault="00C444BA" w:rsidP="00C444BA">
      <w:pPr>
        <w:tabs>
          <w:tab w:val="left" w:pos="426"/>
        </w:tabs>
        <w:suppressAutoHyphens/>
        <w:spacing w:after="240" w:line="240" w:lineRule="auto"/>
        <w:jc w:val="both"/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  <w:t>3. Antecedentes Técnicos:</w:t>
      </w:r>
    </w:p>
    <w:p w14:paraId="5EF2B38B" w14:textId="77777777" w:rsidR="00C444BA" w:rsidRPr="00C444BA" w:rsidRDefault="00C444BA" w:rsidP="00C444BA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Lista de trabajos similares en complejidad técnica ejecutados en los últimos 10 (diez) años:</w:t>
      </w:r>
    </w:p>
    <w:p w14:paraId="1FDECF43" w14:textId="77777777" w:rsidR="00C444BA" w:rsidRPr="00C444BA" w:rsidRDefault="00C444BA" w:rsidP="00C444BA">
      <w:pPr>
        <w:tabs>
          <w:tab w:val="num" w:pos="851"/>
        </w:tabs>
        <w:suppressAutoHyphens/>
        <w:spacing w:after="0" w:line="240" w:lineRule="auto"/>
        <w:jc w:val="both"/>
        <w:rPr>
          <w:rFonts w:ascii="Calibri" w:eastAsia="Arial" w:hAnsi="Calibri" w:cs="Arial"/>
          <w:spacing w:val="-3"/>
          <w:sz w:val="16"/>
          <w:szCs w:val="16"/>
          <w:lang w:val="es-ES" w:eastAsia="es-ES"/>
        </w:rPr>
      </w:pPr>
    </w:p>
    <w:p w14:paraId="41C2092B" w14:textId="77777777" w:rsidR="00C444BA" w:rsidRPr="00C444BA" w:rsidRDefault="00C444BA" w:rsidP="00C444B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66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 xml:space="preserve">Por trabajos similares en complejidad técnica se entiende: desarrollo, mantenimiento y operación de grandes sistemas de información en los que participan varias empresas para coordinar sus actividades empresariales y de negocio y/o entidades públicas para el control, autorización y auditoría de permisos administrativos y operaciones. Estos sistemas de información pueden tomar la forma de </w:t>
      </w:r>
      <w:proofErr w:type="spellStart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marketplaces</w:t>
      </w:r>
      <w:proofErr w:type="spellEnd"/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, portales B2B para grandes empresas con diversidad de clientes y proveedores, ventanillas únicas, sistemas de comunidad portuaria (PCS) o sistemas de gestión aduanera. Para cada trabajo, indicar: lugar, descripción de los trabajos realizados incluyendo duración del proyecto, año, monto aproximado del contrato, dimensión de los equipos de trabajo para desarrollo, mantenimiento y operación, aplicación de la arquitectura y las tecnologías requeridas en la ejecución del proyecto y contacto actualizado (nombre y teléfono).</w:t>
      </w:r>
    </w:p>
    <w:p w14:paraId="4BE68991" w14:textId="77777777" w:rsidR="00C444BA" w:rsidRPr="00C444BA" w:rsidRDefault="00C444BA" w:rsidP="00C444B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66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Al menos deberán existir tres (3) antecedentes similares indicados en el ámbito del comercio exterior, transporte o puertos.</w:t>
      </w:r>
    </w:p>
    <w:p w14:paraId="66385C6F" w14:textId="77777777" w:rsidR="00C444BA" w:rsidRPr="00C444BA" w:rsidRDefault="00C444BA" w:rsidP="00C444B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66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Al menos deberá existir un antecedente similar con un monto aproximado o superior a 2 millones de dólares.</w:t>
      </w:r>
    </w:p>
    <w:p w14:paraId="1B3F0995" w14:textId="77777777" w:rsidR="00C444BA" w:rsidRPr="00C444BA" w:rsidRDefault="00C444BA" w:rsidP="00C444BA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</w:p>
    <w:p w14:paraId="5C5F6B40" w14:textId="77777777" w:rsidR="00C444BA" w:rsidRPr="00C444BA" w:rsidRDefault="00C444BA" w:rsidP="00C444BA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</w:pPr>
    </w:p>
    <w:p w14:paraId="53A25316" w14:textId="77777777" w:rsidR="00C444BA" w:rsidRPr="00C444BA" w:rsidRDefault="00C444BA" w:rsidP="00C444B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</w:p>
    <w:p w14:paraId="155A4EDB" w14:textId="77777777" w:rsidR="00C444BA" w:rsidRPr="00C444BA" w:rsidRDefault="00C444BA" w:rsidP="00C444B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</w:p>
    <w:p w14:paraId="448FF58F" w14:textId="77777777" w:rsidR="00C444BA" w:rsidRPr="00C444BA" w:rsidRDefault="00C444BA" w:rsidP="00C444BA">
      <w:pPr>
        <w:spacing w:after="0" w:line="240" w:lineRule="auto"/>
        <w:ind w:right="-1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 xml:space="preserve">Los antecedentes deberán ser presentados completando la planilla adjunta a continuación, referenciando folio de la presentación donde se encuentra la documentación complementaria. </w:t>
      </w:r>
    </w:p>
    <w:p w14:paraId="61CC4C29" w14:textId="77777777" w:rsidR="00C444BA" w:rsidRPr="00C444BA" w:rsidRDefault="00C444BA" w:rsidP="00C444BA">
      <w:pPr>
        <w:spacing w:after="0" w:line="240" w:lineRule="auto"/>
        <w:jc w:val="center"/>
        <w:rPr>
          <w:rFonts w:ascii="Calibri" w:eastAsia="Arial" w:hAnsi="Calibri" w:cs="Arial"/>
          <w:b/>
          <w:spacing w:val="-3"/>
          <w:sz w:val="24"/>
          <w:szCs w:val="20"/>
          <w:lang w:val="es-ES" w:eastAsia="es-ES"/>
        </w:rPr>
      </w:pPr>
    </w:p>
    <w:tbl>
      <w:tblPr>
        <w:tblW w:w="92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250"/>
        <w:gridCol w:w="28"/>
        <w:gridCol w:w="2330"/>
        <w:gridCol w:w="3851"/>
      </w:tblGrid>
      <w:tr w:rsidR="00C444BA" w:rsidRPr="00C444BA" w14:paraId="62F090D1" w14:textId="77777777" w:rsidTr="00C444BA">
        <w:trPr>
          <w:trHeight w:val="363"/>
        </w:trPr>
        <w:tc>
          <w:tcPr>
            <w:tcW w:w="5367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592993B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Nombre del trabajo: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28F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País:</w:t>
            </w:r>
          </w:p>
        </w:tc>
      </w:tr>
      <w:tr w:rsidR="00C444BA" w:rsidRPr="00C444BA" w14:paraId="261AAB55" w14:textId="77777777" w:rsidTr="00C444BA">
        <w:tblPrEx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9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9CF5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Nombre del Contratante:</w:t>
            </w:r>
          </w:p>
          <w:p w14:paraId="46C24695" w14:textId="77777777" w:rsidR="00C444BA" w:rsidRPr="00C444BA" w:rsidRDefault="00C444BA" w:rsidP="00C444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</w:tr>
      <w:tr w:rsidR="00C444BA" w:rsidRPr="00C444BA" w14:paraId="6A49E62D" w14:textId="77777777" w:rsidTr="00C444BA">
        <w:tblPrEx>
          <w:tblCellMar>
            <w:left w:w="108" w:type="dxa"/>
            <w:right w:w="108" w:type="dxa"/>
          </w:tblCellMar>
        </w:tblPrEx>
        <w:trPr>
          <w:trHeight w:val="24"/>
        </w:trPr>
        <w:tc>
          <w:tcPr>
            <w:tcW w:w="9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9040" w14:textId="77777777" w:rsidR="00C444BA" w:rsidRPr="00C444BA" w:rsidRDefault="00C444BA" w:rsidP="00C444BA">
            <w:pPr>
              <w:snapToGrid w:val="0"/>
              <w:spacing w:after="0" w:line="240" w:lineRule="auto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Seleccionar una o más categorías que correspondan al objeto del trabajo:</w:t>
            </w:r>
          </w:p>
        </w:tc>
      </w:tr>
      <w:tr w:rsidR="00C444BA" w:rsidRPr="00C444BA" w14:paraId="22FC0D6C" w14:textId="77777777" w:rsidTr="00C444BA">
        <w:trPr>
          <w:trHeight w:val="2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0104103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  <w:tc>
          <w:tcPr>
            <w:tcW w:w="8459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7A9AE2CF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i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i/>
                <w:spacing w:val="-3"/>
                <w:sz w:val="18"/>
                <w:szCs w:val="18"/>
                <w:lang w:val="es-ES" w:eastAsia="es-ES"/>
              </w:rPr>
              <w:t>[Indicar lo mismo que lo establecido en el punto 3, Objetivos específicos]</w:t>
            </w:r>
          </w:p>
        </w:tc>
      </w:tr>
      <w:tr w:rsidR="00C444BA" w:rsidRPr="00C444BA" w14:paraId="0A4289D8" w14:textId="77777777" w:rsidTr="00C444BA">
        <w:trPr>
          <w:trHeight w:val="24"/>
        </w:trPr>
        <w:tc>
          <w:tcPr>
            <w:tcW w:w="75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A9BA334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  <w:tc>
          <w:tcPr>
            <w:tcW w:w="84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7FD0D9DA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i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i/>
                <w:spacing w:val="-3"/>
                <w:sz w:val="18"/>
                <w:szCs w:val="18"/>
                <w:lang w:val="es-ES" w:eastAsia="es-ES"/>
              </w:rPr>
              <w:t>[Indicar lo mismo que lo establecido en el punto 3, Objetivos específicos]</w:t>
            </w:r>
          </w:p>
        </w:tc>
      </w:tr>
      <w:tr w:rsidR="00C444BA" w:rsidRPr="00C444BA" w14:paraId="27B15109" w14:textId="77777777" w:rsidTr="00C444BA">
        <w:trPr>
          <w:trHeight w:val="24"/>
        </w:trPr>
        <w:tc>
          <w:tcPr>
            <w:tcW w:w="75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5AECA82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  <w:tc>
          <w:tcPr>
            <w:tcW w:w="84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0D9BA90F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i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i/>
                <w:spacing w:val="-3"/>
                <w:sz w:val="18"/>
                <w:szCs w:val="18"/>
                <w:lang w:val="es-ES" w:eastAsia="es-ES"/>
              </w:rPr>
              <w:t>[Indicar lo mismo que lo establecido en el punto 3, Objetivos específicos]</w:t>
            </w:r>
          </w:p>
        </w:tc>
      </w:tr>
      <w:tr w:rsidR="00C444BA" w:rsidRPr="00C444BA" w14:paraId="0E3F4894" w14:textId="77777777" w:rsidTr="00C444BA">
        <w:trPr>
          <w:trHeight w:val="24"/>
        </w:trPr>
        <w:tc>
          <w:tcPr>
            <w:tcW w:w="75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587E7CAB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  <w:tc>
          <w:tcPr>
            <w:tcW w:w="84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07818105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i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i/>
                <w:spacing w:val="-3"/>
                <w:sz w:val="18"/>
                <w:szCs w:val="18"/>
                <w:lang w:val="es-ES" w:eastAsia="es-ES"/>
              </w:rPr>
              <w:t>[Indicar lo mismo que lo establecido en el punto 3, Objetivos específicos]</w:t>
            </w:r>
          </w:p>
        </w:tc>
      </w:tr>
      <w:tr w:rsidR="00C444BA" w:rsidRPr="00C444BA" w14:paraId="7241202D" w14:textId="77777777" w:rsidTr="00C444BA">
        <w:trPr>
          <w:trHeight w:val="24"/>
        </w:trPr>
        <w:tc>
          <w:tcPr>
            <w:tcW w:w="5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D00C3D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Lugar del trabajo: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25C06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Número de meses / duración del trabajo:</w:t>
            </w:r>
          </w:p>
        </w:tc>
      </w:tr>
      <w:tr w:rsidR="00C444BA" w:rsidRPr="00C444BA" w14:paraId="76DC7FA8" w14:textId="77777777" w:rsidTr="00C444BA">
        <w:trPr>
          <w:trHeight w:val="24"/>
        </w:trPr>
        <w:tc>
          <w:tcPr>
            <w:tcW w:w="5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C61EC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57314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</w:tr>
      <w:tr w:rsidR="00C444BA" w:rsidRPr="00C444BA" w14:paraId="3FF804DC" w14:textId="77777777" w:rsidTr="00C444BA">
        <w:trPr>
          <w:trHeight w:val="24"/>
        </w:trPr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A557C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Fecha de iniciación: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E167F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Fecha de terminación: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AC34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Valor aproximado de los servicios (en dólares):</w:t>
            </w:r>
          </w:p>
        </w:tc>
      </w:tr>
      <w:tr w:rsidR="00C444BA" w:rsidRPr="00C444BA" w14:paraId="0D583148" w14:textId="77777777" w:rsidTr="00C444BA">
        <w:trPr>
          <w:trHeight w:val="24"/>
        </w:trPr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F3338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CAB7C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7A1C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</w:tr>
      <w:tr w:rsidR="00C444BA" w:rsidRPr="00C444BA" w14:paraId="154DD8E8" w14:textId="77777777" w:rsidTr="00C444BA">
        <w:trPr>
          <w:trHeight w:val="24"/>
        </w:trPr>
        <w:tc>
          <w:tcPr>
            <w:tcW w:w="5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757FA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Nombre y apellido de contacto: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6BA82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Teléfono de contacto:</w:t>
            </w:r>
          </w:p>
        </w:tc>
      </w:tr>
      <w:tr w:rsidR="00C444BA" w:rsidRPr="00C444BA" w14:paraId="6CE3D09B" w14:textId="77777777" w:rsidTr="00C444BA">
        <w:trPr>
          <w:trHeight w:val="24"/>
        </w:trPr>
        <w:tc>
          <w:tcPr>
            <w:tcW w:w="5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7014A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958E2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</w:tr>
      <w:tr w:rsidR="00C444BA" w:rsidRPr="00C444BA" w14:paraId="45B54B88" w14:textId="77777777" w:rsidTr="00C444BA">
        <w:tblPrEx>
          <w:tblCellMar>
            <w:left w:w="108" w:type="dxa"/>
            <w:right w:w="108" w:type="dxa"/>
          </w:tblCellMar>
        </w:tblPrEx>
        <w:trPr>
          <w:trHeight w:val="24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C9D5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 xml:space="preserve">Cantidad de servidores: </w:t>
            </w:r>
          </w:p>
        </w:tc>
        <w:tc>
          <w:tcPr>
            <w:tcW w:w="6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F694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Sistemas operativos administrados:</w:t>
            </w:r>
          </w:p>
        </w:tc>
      </w:tr>
      <w:tr w:rsidR="00C444BA" w:rsidRPr="00C444BA" w14:paraId="6B31D09F" w14:textId="77777777" w:rsidTr="00C444BA">
        <w:tblPrEx>
          <w:tblCellMar>
            <w:left w:w="108" w:type="dxa"/>
            <w:right w:w="108" w:type="dxa"/>
          </w:tblCellMar>
        </w:tblPrEx>
        <w:trPr>
          <w:trHeight w:val="24"/>
        </w:trPr>
        <w:tc>
          <w:tcPr>
            <w:tcW w:w="9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69FC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</w:p>
        </w:tc>
      </w:tr>
      <w:tr w:rsidR="00C444BA" w:rsidRPr="00C444BA" w14:paraId="1C3FE623" w14:textId="77777777" w:rsidTr="00C444BA">
        <w:tblPrEx>
          <w:tblCellMar>
            <w:left w:w="108" w:type="dxa"/>
            <w:right w:w="108" w:type="dxa"/>
          </w:tblCellMar>
        </w:tblPrEx>
        <w:trPr>
          <w:trHeight w:val="24"/>
        </w:trPr>
        <w:tc>
          <w:tcPr>
            <w:tcW w:w="9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D4910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spacing w:val="-3"/>
                <w:sz w:val="18"/>
                <w:szCs w:val="18"/>
                <w:lang w:val="es-ES" w:eastAsia="es-ES"/>
              </w:rPr>
              <w:t>Descripción del proyecto:</w:t>
            </w:r>
          </w:p>
          <w:p w14:paraId="0B88DAD5" w14:textId="77777777" w:rsidR="00C444BA" w:rsidRPr="00C444BA" w:rsidRDefault="00C444BA" w:rsidP="00C444BA">
            <w:pPr>
              <w:spacing w:after="0" w:line="240" w:lineRule="auto"/>
              <w:jc w:val="both"/>
              <w:rPr>
                <w:rFonts w:ascii="Calibri" w:eastAsia="Arial" w:hAnsi="Calibri" w:cs="Arial"/>
                <w:b/>
                <w:i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Arial" w:hAnsi="Calibri" w:cs="Arial"/>
                <w:b/>
                <w:i/>
                <w:spacing w:val="-3"/>
                <w:sz w:val="18"/>
                <w:szCs w:val="18"/>
                <w:lang w:val="es-ES" w:eastAsia="es-ES"/>
              </w:rPr>
              <w:t>(ingrese una breve descripción del proyecto con detalle técnico del alcance del servicio prestado, no más de 10 líneas)</w:t>
            </w:r>
          </w:p>
        </w:tc>
      </w:tr>
      <w:tr w:rsidR="00C444BA" w:rsidRPr="00C444BA" w14:paraId="11A3B0C6" w14:textId="77777777" w:rsidTr="00C444BA">
        <w:tblPrEx>
          <w:tblCellMar>
            <w:left w:w="108" w:type="dxa"/>
            <w:right w:w="108" w:type="dxa"/>
          </w:tblCellMar>
        </w:tblPrEx>
        <w:trPr>
          <w:trHeight w:val="24"/>
        </w:trPr>
        <w:tc>
          <w:tcPr>
            <w:tcW w:w="9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C8E80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</w:p>
        </w:tc>
      </w:tr>
      <w:tr w:rsidR="00C444BA" w:rsidRPr="00C444BA" w14:paraId="431D5D2E" w14:textId="77777777" w:rsidTr="00C444BA">
        <w:tblPrEx>
          <w:tblCellMar>
            <w:left w:w="108" w:type="dxa"/>
            <w:right w:w="108" w:type="dxa"/>
          </w:tblCellMar>
        </w:tblPrEx>
        <w:trPr>
          <w:trHeight w:val="24"/>
        </w:trPr>
        <w:tc>
          <w:tcPr>
            <w:tcW w:w="9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16176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>Tecnologías utilizadas:</w:t>
            </w:r>
          </w:p>
          <w:p w14:paraId="48C4DB49" w14:textId="77777777" w:rsidR="00C444BA" w:rsidRPr="00C444BA" w:rsidRDefault="00C444BA" w:rsidP="00C444BA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</w:pPr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 xml:space="preserve">Los interesados deberán demostrar capacidades de uso y aplicación de arquitecturas de microservicios y de las tecnologías que mejor se adaptan a este tipo de sistemas, tales como </w:t>
            </w:r>
            <w:proofErr w:type="spellStart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>APIs</w:t>
            </w:r>
            <w:proofErr w:type="spellEnd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 xml:space="preserve"> REST, bases de datos relacionales y no relacionales, </w:t>
            </w:r>
            <w:proofErr w:type="spellStart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>blockchain</w:t>
            </w:r>
            <w:proofErr w:type="spellEnd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 xml:space="preserve"> (permisionadas y no permisionadas), servicios web, marcos de desarrollo de sistemas </w:t>
            </w:r>
            <w:proofErr w:type="spellStart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>front-end</w:t>
            </w:r>
            <w:proofErr w:type="spellEnd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 xml:space="preserve"> web y de dispositivos móviles (por ejemplo Angular, Vue.js, </w:t>
            </w:r>
            <w:proofErr w:type="spellStart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>ReactJS</w:t>
            </w:r>
            <w:proofErr w:type="spellEnd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>EmberJS</w:t>
            </w:r>
            <w:proofErr w:type="spellEnd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 xml:space="preserve"> o </w:t>
            </w:r>
            <w:proofErr w:type="spellStart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>Ionic</w:t>
            </w:r>
            <w:proofErr w:type="spellEnd"/>
            <w:r w:rsidRPr="00C444BA">
              <w:rPr>
                <w:rFonts w:ascii="Calibri" w:eastAsia="Calibri" w:hAnsi="Calibri" w:cs="Times New Roman"/>
                <w:spacing w:val="-3"/>
                <w:sz w:val="18"/>
                <w:szCs w:val="18"/>
                <w:lang w:val="es-ES" w:eastAsia="es-ES"/>
              </w:rPr>
              <w:t>), y el uso de estándares de intercambio de datos en el sector (XML, JSON, EDIFACT y ANSI.X12)</w:t>
            </w:r>
          </w:p>
        </w:tc>
      </w:tr>
    </w:tbl>
    <w:p w14:paraId="588C897F" w14:textId="77777777" w:rsidR="00C444BA" w:rsidRPr="00C444BA" w:rsidRDefault="00C444BA" w:rsidP="00C444BA">
      <w:pPr>
        <w:spacing w:after="0" w:line="240" w:lineRule="auto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</w:p>
    <w:p w14:paraId="2283BA89" w14:textId="77777777" w:rsidR="00C444BA" w:rsidRPr="00C444BA" w:rsidRDefault="00C444BA" w:rsidP="00C444BA">
      <w:pPr>
        <w:spacing w:after="0" w:line="240" w:lineRule="auto"/>
        <w:ind w:right="735"/>
        <w:jc w:val="both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  <w:r w:rsidRPr="00C444BA">
        <w:rPr>
          <w:rFonts w:ascii="Calibri" w:eastAsia="Arial" w:hAnsi="Calibri" w:cs="Arial"/>
          <w:spacing w:val="-3"/>
          <w:sz w:val="24"/>
          <w:szCs w:val="20"/>
          <w:lang w:val="es-ES" w:eastAsia="es-ES"/>
        </w:rPr>
        <w:t>Asimismo, se solicita presentar antecedentes legales y económicos de la firma para verificar su capacidad financiera, para ello se requiere la presentación de los siguientes documentos:</w:t>
      </w:r>
    </w:p>
    <w:p w14:paraId="3297D4BD" w14:textId="77777777" w:rsidR="00C444BA" w:rsidRPr="00C444BA" w:rsidRDefault="00C444BA" w:rsidP="00C444BA">
      <w:pPr>
        <w:spacing w:after="0" w:line="240" w:lineRule="auto"/>
        <w:rPr>
          <w:rFonts w:ascii="Calibri" w:eastAsia="Arial" w:hAnsi="Calibri" w:cs="Arial"/>
          <w:spacing w:val="-3"/>
          <w:sz w:val="24"/>
          <w:szCs w:val="20"/>
          <w:lang w:val="es-ES" w:eastAsia="es-ES"/>
        </w:rPr>
      </w:pPr>
    </w:p>
    <w:p w14:paraId="05C92EA1" w14:textId="77777777" w:rsidR="00C444BA" w:rsidRPr="00C444BA" w:rsidRDefault="00C444BA" w:rsidP="00C444B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</w:pP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>Documentación legal de la sociedad: copia de estatuto o contrato social.</w:t>
      </w:r>
    </w:p>
    <w:p w14:paraId="120E9368" w14:textId="77777777" w:rsidR="00C444BA" w:rsidRPr="00C444BA" w:rsidRDefault="00C444BA" w:rsidP="00C444BA">
      <w:pPr>
        <w:suppressAutoHyphens/>
        <w:spacing w:after="0" w:line="240" w:lineRule="auto"/>
        <w:ind w:left="851"/>
        <w:jc w:val="both"/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</w:pPr>
    </w:p>
    <w:p w14:paraId="5439CA1B" w14:textId="77777777" w:rsidR="00C444BA" w:rsidRPr="00C444BA" w:rsidRDefault="00C444BA" w:rsidP="00C444B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spacing w:val="-3"/>
          <w:sz w:val="20"/>
          <w:szCs w:val="20"/>
          <w:lang w:val="es-ES" w:eastAsia="es-ES"/>
        </w:rPr>
      </w:pP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>Comprobante escrito y firmado de la intención de conformar consorcio (de corresponder</w:t>
      </w:r>
      <w:r w:rsidRPr="00C444BA">
        <w:rPr>
          <w:rFonts w:ascii="Arial" w:eastAsia="Arial" w:hAnsi="Arial" w:cs="Arial"/>
          <w:spacing w:val="-3"/>
          <w:sz w:val="20"/>
          <w:szCs w:val="20"/>
          <w:lang w:val="es-ES" w:eastAsia="es-ES"/>
        </w:rPr>
        <w:t>).</w:t>
      </w:r>
    </w:p>
    <w:p w14:paraId="480B5908" w14:textId="77777777" w:rsidR="00C444BA" w:rsidRPr="00C444BA" w:rsidRDefault="00C444BA" w:rsidP="00C444BA">
      <w:pPr>
        <w:spacing w:after="0" w:line="240" w:lineRule="auto"/>
        <w:ind w:left="720"/>
        <w:rPr>
          <w:rFonts w:ascii="Arial" w:eastAsia="Arial" w:hAnsi="Arial" w:cs="Arial"/>
          <w:sz w:val="20"/>
          <w:lang w:val="es-ES" w:eastAsia="es-ES"/>
        </w:rPr>
      </w:pPr>
    </w:p>
    <w:p w14:paraId="76635EF8" w14:textId="77777777" w:rsidR="00C444BA" w:rsidRPr="00C444BA" w:rsidRDefault="00C444BA" w:rsidP="00C444B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" w:hAnsi="Arial" w:cs="Arial"/>
          <w:spacing w:val="-3"/>
          <w:sz w:val="20"/>
          <w:szCs w:val="20"/>
          <w:lang w:val="es-ES" w:eastAsia="es-ES"/>
        </w:rPr>
      </w:pP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 xml:space="preserve">Últimos tres balances o estados de situación financiera. </w:t>
      </w:r>
      <w:r w:rsidRPr="00C444BA">
        <w:rPr>
          <w:rFonts w:ascii="Arial" w:eastAsia="Arial" w:hAnsi="Arial" w:cs="Arial"/>
          <w:spacing w:val="-3"/>
          <w:sz w:val="20"/>
          <w:szCs w:val="20"/>
          <w:lang w:val="es-ES" w:eastAsia="es-ES"/>
        </w:rPr>
        <w:t xml:space="preserve">Esta documentación contable solicitada debe estar certificada y auditada por el Consejo de Ciencias Económicas. Para la evaluación financiera se tomarán los valores promedio de los últimos 3 años, de acuerdo a los siguientes índices: </w:t>
      </w:r>
    </w:p>
    <w:p w14:paraId="5D3F52D8" w14:textId="77777777" w:rsidR="00C444BA" w:rsidRPr="00C444BA" w:rsidRDefault="00C444BA" w:rsidP="00C444BA">
      <w:pPr>
        <w:suppressAutoHyphens/>
        <w:spacing w:after="0" w:line="240" w:lineRule="auto"/>
        <w:ind w:left="1778"/>
        <w:jc w:val="both"/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</w:pPr>
      <w:r w:rsidRPr="00C444BA">
        <w:rPr>
          <w:rFonts w:ascii="Arial" w:eastAsia="Arial" w:hAnsi="Arial" w:cs="Arial"/>
          <w:spacing w:val="-3"/>
          <w:sz w:val="20"/>
          <w:szCs w:val="20"/>
          <w:lang w:val="es-ES" w:eastAsia="es-ES"/>
        </w:rPr>
        <w:t>Solvencia:</w:t>
      </w: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 xml:space="preserve">            mayor o igual a (1,50)</w:t>
      </w:r>
    </w:p>
    <w:p w14:paraId="615A00F5" w14:textId="77777777" w:rsidR="00C444BA" w:rsidRPr="00C444BA" w:rsidRDefault="00C444BA" w:rsidP="00C444BA">
      <w:pPr>
        <w:suppressAutoHyphens/>
        <w:spacing w:after="0" w:line="240" w:lineRule="auto"/>
        <w:ind w:left="1778"/>
        <w:jc w:val="both"/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</w:pPr>
      <w:r w:rsidRPr="00C444BA">
        <w:rPr>
          <w:rFonts w:ascii="Arial" w:eastAsia="Arial" w:hAnsi="Arial" w:cs="Arial"/>
          <w:spacing w:val="-3"/>
          <w:sz w:val="20"/>
          <w:szCs w:val="20"/>
          <w:lang w:val="es-ES" w:eastAsia="es-ES"/>
        </w:rPr>
        <w:t>Liquidez:</w:t>
      </w: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 xml:space="preserve">              mayor o igual a (1)     </w:t>
      </w:r>
    </w:p>
    <w:p w14:paraId="54E3A4B3" w14:textId="77777777" w:rsidR="00C444BA" w:rsidRPr="00C444BA" w:rsidRDefault="00C444BA" w:rsidP="00C444BA">
      <w:pPr>
        <w:suppressAutoHyphens/>
        <w:spacing w:after="0" w:line="240" w:lineRule="auto"/>
        <w:ind w:left="1778"/>
        <w:jc w:val="both"/>
        <w:rPr>
          <w:rFonts w:ascii="Arial" w:eastAsia="Arial" w:hAnsi="Arial" w:cs="Arial"/>
          <w:spacing w:val="-3"/>
          <w:sz w:val="20"/>
          <w:szCs w:val="20"/>
          <w:lang w:val="es-ES" w:eastAsia="es-ES"/>
        </w:rPr>
      </w:pPr>
      <w:r w:rsidRPr="00C444BA">
        <w:rPr>
          <w:rFonts w:ascii="Arial" w:eastAsia="Arial" w:hAnsi="Arial" w:cs="Arial"/>
          <w:spacing w:val="-3"/>
          <w:sz w:val="20"/>
          <w:szCs w:val="20"/>
          <w:lang w:val="es-ES" w:eastAsia="es-ES"/>
        </w:rPr>
        <w:t>Endeudamiento:</w:t>
      </w: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 xml:space="preserve"> menor o igual a (0,85)</w:t>
      </w:r>
    </w:p>
    <w:p w14:paraId="3C323DDF" w14:textId="77777777" w:rsidR="00C444BA" w:rsidRPr="00C444BA" w:rsidRDefault="00C444BA" w:rsidP="00C444BA">
      <w:pPr>
        <w:spacing w:after="0" w:line="240" w:lineRule="auto"/>
        <w:ind w:left="720"/>
        <w:rPr>
          <w:rFonts w:ascii="Arial" w:eastAsia="Arial" w:hAnsi="Arial" w:cs="Arial"/>
          <w:sz w:val="20"/>
          <w:lang w:val="es-ES" w:eastAsia="es-ES"/>
        </w:rPr>
      </w:pPr>
    </w:p>
    <w:p w14:paraId="6E7C5B7E" w14:textId="77777777" w:rsidR="00C444BA" w:rsidRPr="00C444BA" w:rsidRDefault="00C444BA" w:rsidP="00C444BA">
      <w:pPr>
        <w:numPr>
          <w:ilvl w:val="0"/>
          <w:numId w:val="3"/>
        </w:numPr>
        <w:suppressAutoHyphens/>
        <w:spacing w:after="0" w:line="240" w:lineRule="auto"/>
        <w:ind w:right="735"/>
        <w:jc w:val="both"/>
        <w:rPr>
          <w:rFonts w:ascii="Calibri" w:eastAsia="Times New Roman" w:hAnsi="Calibri" w:cs="Arial"/>
          <w:b/>
          <w:i/>
          <w:spacing w:val="-3"/>
          <w:sz w:val="20"/>
          <w:szCs w:val="20"/>
          <w:lang w:val="es-ES" w:eastAsia="es-ES"/>
        </w:rPr>
      </w:pP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>La documentación deberá ser presentada en formato papel y digital: un original en formato papel y una copia en formato digital, en idioma español.</w:t>
      </w:r>
    </w:p>
    <w:p w14:paraId="33CED58E" w14:textId="77777777" w:rsidR="00C444BA" w:rsidRPr="00C444BA" w:rsidRDefault="00C444BA" w:rsidP="00C444BA">
      <w:pPr>
        <w:spacing w:after="0" w:line="240" w:lineRule="auto"/>
        <w:ind w:left="720"/>
        <w:rPr>
          <w:rFonts w:ascii="Calibri" w:eastAsia="Calibri" w:hAnsi="Calibri" w:cs="Arial"/>
          <w:b/>
          <w:i/>
          <w:sz w:val="20"/>
          <w:lang w:val="es-ES" w:eastAsia="es-ES"/>
        </w:rPr>
      </w:pPr>
    </w:p>
    <w:p w14:paraId="20E367E7" w14:textId="77777777" w:rsidR="00C444BA" w:rsidRPr="00C444BA" w:rsidRDefault="00C444BA" w:rsidP="00C444B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</w:pP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>Documentación legal de la sociedad: copia de estatuto o contrato social.</w:t>
      </w:r>
    </w:p>
    <w:p w14:paraId="4F15CF0D" w14:textId="77777777" w:rsidR="00C444BA" w:rsidRPr="00C444BA" w:rsidRDefault="00C444BA" w:rsidP="00C444BA">
      <w:pPr>
        <w:suppressAutoHyphens/>
        <w:spacing w:after="0" w:line="240" w:lineRule="auto"/>
        <w:ind w:left="851"/>
        <w:jc w:val="both"/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</w:pPr>
    </w:p>
    <w:p w14:paraId="12B5002A" w14:textId="77777777" w:rsidR="00C444BA" w:rsidRPr="00C444BA" w:rsidRDefault="00C444BA" w:rsidP="00C444B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" w:hAnsi="Arial" w:cs="Arial"/>
          <w:spacing w:val="-3"/>
          <w:sz w:val="20"/>
          <w:szCs w:val="20"/>
          <w:lang w:val="es-ES" w:eastAsia="es-ES"/>
        </w:rPr>
      </w:pP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>Comprobante escrito y firmado de la intención de conformar consorcio (de corresponder</w:t>
      </w:r>
      <w:r w:rsidRPr="00C444BA">
        <w:rPr>
          <w:rFonts w:ascii="Arial" w:eastAsia="Arial" w:hAnsi="Arial" w:cs="Arial"/>
          <w:spacing w:val="-3"/>
          <w:sz w:val="20"/>
          <w:szCs w:val="20"/>
          <w:lang w:val="es-ES" w:eastAsia="es-ES"/>
        </w:rPr>
        <w:t>).</w:t>
      </w:r>
    </w:p>
    <w:p w14:paraId="44D407F3" w14:textId="77777777" w:rsidR="00C444BA" w:rsidRPr="00C444BA" w:rsidRDefault="00C444BA" w:rsidP="00C444BA">
      <w:pPr>
        <w:spacing w:after="0" w:line="240" w:lineRule="auto"/>
        <w:ind w:left="720"/>
        <w:rPr>
          <w:rFonts w:ascii="Arial" w:eastAsia="Arial" w:hAnsi="Arial" w:cs="Arial"/>
          <w:sz w:val="20"/>
          <w:lang w:val="es-ES" w:eastAsia="es-ES"/>
        </w:rPr>
      </w:pPr>
    </w:p>
    <w:p w14:paraId="1541D411" w14:textId="77777777" w:rsidR="00C444BA" w:rsidRPr="00C444BA" w:rsidRDefault="00C444BA" w:rsidP="00C444BA">
      <w:pPr>
        <w:spacing w:after="0" w:line="240" w:lineRule="auto"/>
        <w:ind w:left="720"/>
        <w:rPr>
          <w:rFonts w:ascii="Arial" w:eastAsia="Arial" w:hAnsi="Arial" w:cs="Arial"/>
          <w:sz w:val="20"/>
          <w:lang w:val="es-ES" w:eastAsia="es-ES"/>
        </w:rPr>
      </w:pPr>
    </w:p>
    <w:p w14:paraId="19713B0A" w14:textId="77777777" w:rsidR="00C444BA" w:rsidRPr="00C444BA" w:rsidRDefault="00C444BA" w:rsidP="00C444B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/>
          <w:spacing w:val="-3"/>
          <w:sz w:val="24"/>
          <w:szCs w:val="24"/>
          <w:lang w:val="es-ES" w:eastAsia="es-ES"/>
        </w:rPr>
      </w:pPr>
      <w:r w:rsidRPr="00C444BA">
        <w:rPr>
          <w:rFonts w:ascii="Arial" w:eastAsia="Arial" w:hAnsi="Arial" w:cs="Arial"/>
          <w:b/>
          <w:spacing w:val="-3"/>
          <w:sz w:val="20"/>
          <w:szCs w:val="20"/>
          <w:lang w:val="es-ES" w:eastAsia="es-ES"/>
        </w:rPr>
        <w:t>La documentación deberá ser presentada en formato papel y digital: un original en formato papel y una copia en formato digital, en idioma español.</w:t>
      </w:r>
    </w:p>
    <w:sectPr w:rsidR="00C444BA" w:rsidRPr="00C444BA" w:rsidSect="00C444BA">
      <w:pgSz w:w="11906" w:h="16838"/>
      <w:pgMar w:top="56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30ECF"/>
    <w:multiLevelType w:val="hybridMultilevel"/>
    <w:tmpl w:val="8CAAE712"/>
    <w:lvl w:ilvl="0" w:tplc="DDA460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2D22"/>
    <w:multiLevelType w:val="hybridMultilevel"/>
    <w:tmpl w:val="3BB05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25F0F"/>
    <w:multiLevelType w:val="hybridMultilevel"/>
    <w:tmpl w:val="0AEC5950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C766C"/>
    <w:multiLevelType w:val="hybridMultilevel"/>
    <w:tmpl w:val="9C3ACC7C"/>
    <w:lvl w:ilvl="0" w:tplc="CC126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BA"/>
    <w:rsid w:val="00116618"/>
    <w:rsid w:val="00C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E2E0"/>
  <w15:chartTrackingRefBased/>
  <w15:docId w15:val="{F7D0D92C-9621-4A33-83CB-75C0240A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1330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Gorriz</dc:creator>
  <cp:keywords/>
  <dc:description/>
  <cp:lastModifiedBy>Leandro Gorriz</cp:lastModifiedBy>
  <cp:revision>1</cp:revision>
  <cp:lastPrinted>2019-01-31T16:41:00Z</cp:lastPrinted>
  <dcterms:created xsi:type="dcterms:W3CDTF">2019-01-31T16:33:00Z</dcterms:created>
  <dcterms:modified xsi:type="dcterms:W3CDTF">2019-01-31T16:42:00Z</dcterms:modified>
</cp:coreProperties>
</file>